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00" w:rsidRPr="00C944CA" w:rsidRDefault="003A0600" w:rsidP="00C944CA">
      <w:pPr>
        <w:pStyle w:val="En-tte"/>
        <w:spacing w:after="0" w:line="240" w:lineRule="auto"/>
        <w:jc w:val="center"/>
        <w:rPr>
          <w:rFonts w:ascii="Times New Roman" w:hAnsi="Times New Roman" w:cs="Times New Roman"/>
          <w:b/>
          <w:bCs/>
          <w:lang w:val="en-GB"/>
        </w:rPr>
      </w:pPr>
      <w:r w:rsidRPr="00C944CA">
        <w:rPr>
          <w:rFonts w:ascii="Times New Roman" w:hAnsi="Times New Roman" w:cs="Times New Roman"/>
          <w:b/>
          <w:bCs/>
          <w:lang w:val="en-GB"/>
        </w:rPr>
        <w:t>People’s Democratic Republic of Algeria</w:t>
      </w:r>
    </w:p>
    <w:p w:rsidR="003A0600" w:rsidRDefault="003A0600" w:rsidP="00C944CA">
      <w:pPr>
        <w:pStyle w:val="En-tte"/>
        <w:spacing w:after="0" w:line="240" w:lineRule="auto"/>
        <w:jc w:val="center"/>
        <w:rPr>
          <w:rFonts w:ascii="Arabic Typesetting" w:hAnsi="Arabic Typesetting" w:cs="Arabic Typesetting"/>
          <w:b/>
          <w:bCs/>
          <w:sz w:val="40"/>
          <w:szCs w:val="40"/>
        </w:rPr>
      </w:pPr>
      <w:proofErr w:type="gramStart"/>
      <w:r>
        <w:rPr>
          <w:rFonts w:ascii="Arabic Typesetting" w:hAnsi="Arabic Typesetting" w:cs="Arabic Typesetting"/>
          <w:b/>
          <w:bCs/>
          <w:sz w:val="40"/>
          <w:szCs w:val="40"/>
          <w:rtl/>
        </w:rPr>
        <w:t>وزارة</w:t>
      </w:r>
      <w:proofErr w:type="gramEnd"/>
      <w:r>
        <w:rPr>
          <w:rFonts w:ascii="Arabic Typesetting" w:hAnsi="Arabic Typesetting" w:cs="Arabic Typesetting"/>
          <w:b/>
          <w:bCs/>
          <w:sz w:val="40"/>
          <w:szCs w:val="40"/>
          <w:rtl/>
        </w:rPr>
        <w:t xml:space="preserve"> التعليــــم العـــالــي و البحث العلمــي</w:t>
      </w:r>
    </w:p>
    <w:p w:rsidR="003A0600" w:rsidRDefault="003A0600" w:rsidP="00C944CA">
      <w:pPr>
        <w:pStyle w:val="En-tte"/>
        <w:spacing w:after="0" w:line="240" w:lineRule="auto"/>
        <w:jc w:val="center"/>
        <w:rPr>
          <w:rFonts w:ascii="Times New Roman" w:hAnsi="Times New Roman" w:cs="Times New Roman"/>
          <w:b/>
          <w:bCs/>
          <w:lang w:val="en-US"/>
        </w:rPr>
      </w:pPr>
      <w:proofErr w:type="spellStart"/>
      <w:r>
        <w:rPr>
          <w:rFonts w:ascii="Times New Roman" w:hAnsi="Times New Roman" w:cs="Times New Roman"/>
          <w:b/>
          <w:bCs/>
          <w:lang w:val="en-US"/>
        </w:rPr>
        <w:t>Ministury</w:t>
      </w:r>
      <w:proofErr w:type="spellEnd"/>
      <w:r>
        <w:rPr>
          <w:rFonts w:ascii="Times New Roman" w:hAnsi="Times New Roman" w:cs="Times New Roman"/>
          <w:b/>
          <w:bCs/>
          <w:lang w:val="en-US"/>
        </w:rPr>
        <w:t xml:space="preserve"> of </w:t>
      </w:r>
      <w:proofErr w:type="spellStart"/>
      <w:r>
        <w:rPr>
          <w:rFonts w:ascii="Times New Roman" w:hAnsi="Times New Roman" w:cs="Times New Roman"/>
          <w:b/>
          <w:bCs/>
          <w:lang w:val="en-US"/>
        </w:rPr>
        <w:t>HigherEducation</w:t>
      </w:r>
      <w:proofErr w:type="spellEnd"/>
      <w:r>
        <w:rPr>
          <w:rFonts w:ascii="Times New Roman" w:hAnsi="Times New Roman" w:cs="Times New Roman"/>
          <w:b/>
          <w:bCs/>
          <w:lang w:val="en-US"/>
        </w:rPr>
        <w:t xml:space="preserve"> </w:t>
      </w:r>
      <w:proofErr w:type="gramStart"/>
      <w:r>
        <w:rPr>
          <w:rFonts w:ascii="Times New Roman" w:hAnsi="Times New Roman" w:cs="Times New Roman"/>
          <w:b/>
          <w:bCs/>
          <w:lang w:val="en-US"/>
        </w:rPr>
        <w:t>And</w:t>
      </w:r>
      <w:proofErr w:type="gramEnd"/>
      <w:r>
        <w:rPr>
          <w:rFonts w:ascii="Times New Roman" w:hAnsi="Times New Roman" w:cs="Times New Roman"/>
          <w:b/>
          <w:bCs/>
          <w:lang w:val="en-US"/>
        </w:rPr>
        <w:t xml:space="preserve"> Scientific Research</w:t>
      </w:r>
    </w:p>
    <w:tbl>
      <w:tblPr>
        <w:tblStyle w:val="Grilledutableau1"/>
        <w:tblW w:w="11179"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2750"/>
        <w:gridCol w:w="4308"/>
      </w:tblGrid>
      <w:tr w:rsidR="003A0600" w:rsidTr="00395C4A">
        <w:trPr>
          <w:trHeight w:val="1546"/>
        </w:trPr>
        <w:tc>
          <w:tcPr>
            <w:tcW w:w="4121" w:type="dxa"/>
            <w:tcBorders>
              <w:bottom w:val="single" w:sz="4" w:space="0" w:color="auto"/>
            </w:tcBorders>
          </w:tcPr>
          <w:p w:rsidR="00C944CA" w:rsidRDefault="00C944CA" w:rsidP="00395C4A">
            <w:pPr>
              <w:pStyle w:val="En-tte"/>
              <w:jc w:val="center"/>
              <w:rPr>
                <w:rFonts w:ascii="Times New Roman" w:hAnsi="Times New Roman" w:cs="Times New Roman"/>
                <w:b/>
                <w:bCs/>
                <w:lang w:val="en-US"/>
              </w:rPr>
            </w:pPr>
          </w:p>
          <w:p w:rsidR="003A0600" w:rsidRDefault="003A0600" w:rsidP="00395C4A">
            <w:pPr>
              <w:pStyle w:val="En-tte"/>
              <w:jc w:val="center"/>
              <w:rPr>
                <w:rFonts w:ascii="Times New Roman" w:hAnsi="Times New Roman" w:cs="Times New Roman"/>
                <w:b/>
                <w:bCs/>
                <w:lang w:val="en-US"/>
              </w:rPr>
            </w:pPr>
            <w:r>
              <w:rPr>
                <w:rFonts w:ascii="Times New Roman" w:hAnsi="Times New Roman" w:cs="Times New Roman"/>
                <w:b/>
                <w:bCs/>
                <w:lang w:val="en-US"/>
              </w:rPr>
              <w:t>Higher School of Agronomy</w:t>
            </w:r>
          </w:p>
          <w:p w:rsidR="003A0600" w:rsidRDefault="003A0600" w:rsidP="00395C4A">
            <w:pPr>
              <w:pStyle w:val="En-tte"/>
              <w:jc w:val="center"/>
              <w:rPr>
                <w:rFonts w:ascii="Times New Roman" w:hAnsi="Times New Roman" w:cs="Times New Roman"/>
                <w:b/>
                <w:bCs/>
                <w:lang w:val="en-US"/>
              </w:rPr>
            </w:pPr>
            <w:proofErr w:type="spellStart"/>
            <w:r>
              <w:rPr>
                <w:rFonts w:ascii="Times New Roman" w:hAnsi="Times New Roman" w:cs="Times New Roman"/>
                <w:b/>
                <w:bCs/>
                <w:lang w:val="en-US"/>
              </w:rPr>
              <w:t>Mostaganem</w:t>
            </w:r>
            <w:proofErr w:type="spellEnd"/>
          </w:p>
          <w:p w:rsidR="003A0600" w:rsidRDefault="003A0600" w:rsidP="00395C4A">
            <w:pPr>
              <w:pStyle w:val="En-tte"/>
              <w:jc w:val="center"/>
              <w:rPr>
                <w:rFonts w:ascii="Times New Roman" w:hAnsi="Times New Roman" w:cs="Times New Roman"/>
                <w:b/>
                <w:bCs/>
                <w:lang w:val="en-US"/>
              </w:rPr>
            </w:pPr>
            <w:r>
              <w:rPr>
                <w:rFonts w:ascii="Times New Roman" w:hAnsi="Times New Roman" w:cs="Times New Roman"/>
                <w:b/>
                <w:bCs/>
                <w:lang w:val="en-US"/>
              </w:rPr>
              <w:t xml:space="preserve">Martyr Mohamed el </w:t>
            </w:r>
            <w:proofErr w:type="spellStart"/>
            <w:r>
              <w:rPr>
                <w:rFonts w:ascii="Times New Roman" w:hAnsi="Times New Roman" w:cs="Times New Roman"/>
                <w:b/>
                <w:bCs/>
                <w:lang w:val="en-US"/>
              </w:rPr>
              <w:t>Amjed</w:t>
            </w:r>
            <w:proofErr w:type="spellEnd"/>
          </w:p>
          <w:p w:rsidR="003A0600" w:rsidRDefault="003A0600" w:rsidP="00395C4A">
            <w:pPr>
              <w:pStyle w:val="En-tte"/>
              <w:jc w:val="center"/>
              <w:rPr>
                <w:rFonts w:ascii="Times New Roman" w:hAnsi="Times New Roman" w:cs="Times New Roman"/>
                <w:b/>
                <w:bCs/>
              </w:rPr>
            </w:pPr>
            <w:r>
              <w:rPr>
                <w:rFonts w:ascii="Times New Roman" w:hAnsi="Times New Roman" w:cs="Times New Roman"/>
                <w:b/>
                <w:bCs/>
              </w:rPr>
              <w:t>Ben Abdelmalek</w:t>
            </w:r>
          </w:p>
          <w:p w:rsidR="003A0600" w:rsidRDefault="003A0600" w:rsidP="00395C4A">
            <w:pPr>
              <w:rPr>
                <w:rFonts w:ascii="Times New Roman" w:hAnsi="Times New Roman" w:cs="Times New Roman"/>
              </w:rPr>
            </w:pPr>
          </w:p>
          <w:p w:rsidR="003A0600" w:rsidRDefault="003A0600" w:rsidP="00395C4A">
            <w:pPr>
              <w:tabs>
                <w:tab w:val="center" w:pos="1905"/>
              </w:tabs>
            </w:pPr>
            <w:r>
              <w:tab/>
            </w:r>
            <w:r>
              <w:tab/>
            </w:r>
          </w:p>
        </w:tc>
        <w:tc>
          <w:tcPr>
            <w:tcW w:w="2750" w:type="dxa"/>
            <w:tcBorders>
              <w:bottom w:val="single" w:sz="4" w:space="0" w:color="auto"/>
            </w:tcBorders>
          </w:tcPr>
          <w:p w:rsidR="003A0600" w:rsidRDefault="003A0600" w:rsidP="00395C4A">
            <w:pPr>
              <w:pStyle w:val="En-tte"/>
              <w:jc w:val="center"/>
              <w:rPr>
                <w:b/>
                <w:bCs/>
              </w:rPr>
            </w:pPr>
            <w:r>
              <w:rPr>
                <w:b/>
                <w:bCs/>
                <w:noProof/>
              </w:rPr>
              <w:drawing>
                <wp:inline distT="0" distB="0" distL="0" distR="0" wp14:anchorId="3D7F6AA4" wp14:editId="5C2AE214">
                  <wp:extent cx="1424940" cy="992505"/>
                  <wp:effectExtent l="0" t="0" r="3810" b="17145"/>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35992" cy="1000440"/>
                          </a:xfrm>
                          <a:prstGeom prst="rect">
                            <a:avLst/>
                          </a:prstGeom>
                          <a:noFill/>
                          <a:ln>
                            <a:noFill/>
                          </a:ln>
                        </pic:spPr>
                      </pic:pic>
                    </a:graphicData>
                  </a:graphic>
                </wp:inline>
              </w:drawing>
            </w:r>
          </w:p>
        </w:tc>
        <w:tc>
          <w:tcPr>
            <w:tcW w:w="4308" w:type="dxa"/>
            <w:tcBorders>
              <w:bottom w:val="single" w:sz="4" w:space="0" w:color="auto"/>
            </w:tcBorders>
          </w:tcPr>
          <w:p w:rsidR="003A0600" w:rsidRDefault="003A0600" w:rsidP="00395C4A">
            <w:pPr>
              <w:pStyle w:val="En-tte"/>
              <w:jc w:val="center"/>
              <w:rPr>
                <w:rFonts w:ascii="Arabic Typesetting" w:hAnsi="Arabic Typesetting" w:cs="Arabic Typesetting"/>
                <w:b/>
                <w:bCs/>
                <w:sz w:val="36"/>
                <w:szCs w:val="36"/>
              </w:rPr>
            </w:pPr>
            <w:r>
              <w:rPr>
                <w:rFonts w:ascii="Arabic Typesetting" w:hAnsi="Arabic Typesetting" w:cs="Arabic Typesetting"/>
                <w:b/>
                <w:bCs/>
                <w:sz w:val="36"/>
                <w:szCs w:val="36"/>
                <w:rtl/>
              </w:rPr>
              <w:t>المدرسـة العليا للفلاحة</w:t>
            </w:r>
          </w:p>
          <w:p w:rsidR="003A0600" w:rsidRDefault="003A0600" w:rsidP="00395C4A">
            <w:pPr>
              <w:pStyle w:val="En-tte"/>
              <w:jc w:val="center"/>
              <w:rPr>
                <w:rFonts w:ascii="Arabic Typesetting" w:hAnsi="Arabic Typesetting" w:cs="Arabic Typesetting"/>
                <w:b/>
                <w:bCs/>
                <w:sz w:val="36"/>
                <w:szCs w:val="36"/>
              </w:rPr>
            </w:pPr>
            <w:r>
              <w:rPr>
                <w:rFonts w:ascii="Arabic Typesetting" w:hAnsi="Arabic Typesetting" w:cs="Arabic Typesetting"/>
                <w:b/>
                <w:bCs/>
                <w:sz w:val="36"/>
                <w:szCs w:val="36"/>
                <w:rtl/>
              </w:rPr>
              <w:t>بمستغانم</w:t>
            </w:r>
          </w:p>
          <w:p w:rsidR="003A0600" w:rsidRDefault="003A0600" w:rsidP="00395C4A">
            <w:pPr>
              <w:pStyle w:val="En-tte"/>
              <w:jc w:val="center"/>
              <w:rPr>
                <w:rFonts w:ascii="Arabic Typesetting" w:hAnsi="Arabic Typesetting" w:cs="Arabic Typesetting"/>
                <w:b/>
                <w:bCs/>
                <w:sz w:val="36"/>
                <w:szCs w:val="36"/>
              </w:rPr>
            </w:pPr>
            <w:r>
              <w:rPr>
                <w:rFonts w:ascii="Arabic Typesetting" w:hAnsi="Arabic Typesetting" w:cs="Arabic Typesetting"/>
                <w:b/>
                <w:bCs/>
                <w:sz w:val="36"/>
                <w:szCs w:val="36"/>
                <w:rtl/>
              </w:rPr>
              <w:t xml:space="preserve">الشهيد محمد الأمجد بن </w:t>
            </w:r>
            <w:proofErr w:type="gramStart"/>
            <w:r>
              <w:rPr>
                <w:rFonts w:ascii="Arabic Typesetting" w:hAnsi="Arabic Typesetting" w:cs="Arabic Typesetting"/>
                <w:b/>
                <w:bCs/>
                <w:sz w:val="36"/>
                <w:szCs w:val="36"/>
                <w:rtl/>
              </w:rPr>
              <w:t>عبد</w:t>
            </w:r>
            <w:proofErr w:type="gramEnd"/>
            <w:r>
              <w:rPr>
                <w:rFonts w:ascii="Arabic Typesetting" w:hAnsi="Arabic Typesetting" w:cs="Arabic Typesetting"/>
                <w:b/>
                <w:bCs/>
                <w:sz w:val="36"/>
                <w:szCs w:val="36"/>
                <w:rtl/>
              </w:rPr>
              <w:t xml:space="preserve"> المالك</w:t>
            </w:r>
          </w:p>
        </w:tc>
      </w:tr>
    </w:tbl>
    <w:p w:rsidR="003A0600" w:rsidRDefault="003A0600" w:rsidP="003A0600">
      <w:pPr>
        <w:bidi/>
        <w:spacing w:after="0" w:line="240" w:lineRule="auto"/>
        <w:jc w:val="both"/>
        <w:rPr>
          <w:rFonts w:ascii="Arabic Typesetting" w:hAnsi="Arabic Typesetting" w:cs="Arabic Typesetting"/>
          <w:b/>
          <w:bCs/>
          <w:sz w:val="44"/>
          <w:szCs w:val="44"/>
          <w:u w:val="single"/>
          <w:rtl/>
          <w:lang w:val="en-US" w:bidi="ar-DZ"/>
        </w:rPr>
      </w:pPr>
    </w:p>
    <w:p w:rsidR="003A0600" w:rsidRPr="003A0600" w:rsidRDefault="003A0600" w:rsidP="00C944CA">
      <w:pPr>
        <w:rPr>
          <w:b/>
          <w:bCs/>
          <w:sz w:val="28"/>
          <w:szCs w:val="28"/>
        </w:rPr>
      </w:pPr>
    </w:p>
    <w:p w:rsidR="003A0600" w:rsidRPr="00C944CA" w:rsidRDefault="00800798" w:rsidP="003A0600">
      <w:pPr>
        <w:jc w:val="center"/>
        <w:rPr>
          <w:rFonts w:asciiTheme="majorBidi" w:hAnsiTheme="majorBidi" w:cstheme="majorBidi"/>
          <w:b/>
          <w:bCs/>
          <w:sz w:val="32"/>
          <w:szCs w:val="32"/>
        </w:rPr>
      </w:pPr>
      <w:r>
        <w:rPr>
          <w:rFonts w:asciiTheme="majorBidi" w:hAnsiTheme="majorBidi" w:cstheme="majorBidi"/>
          <w:b/>
          <w:bCs/>
          <w:sz w:val="32"/>
          <w:szCs w:val="32"/>
        </w:rPr>
        <w:t>ANNONCE DE</w:t>
      </w:r>
      <w:r w:rsidR="003A0600" w:rsidRPr="00C944CA">
        <w:rPr>
          <w:rFonts w:asciiTheme="majorBidi" w:hAnsiTheme="majorBidi" w:cstheme="majorBidi"/>
          <w:b/>
          <w:bCs/>
          <w:sz w:val="32"/>
          <w:szCs w:val="32"/>
        </w:rPr>
        <w:t xml:space="preserve"> SOUTENANCE DE THESE DE DOCTORAT</w:t>
      </w:r>
    </w:p>
    <w:p w:rsidR="0042412C" w:rsidRPr="00C944CA" w:rsidRDefault="0042412C" w:rsidP="003A0600">
      <w:pPr>
        <w:rPr>
          <w:rFonts w:asciiTheme="majorBidi" w:hAnsiTheme="majorBidi" w:cstheme="majorBidi"/>
        </w:rPr>
      </w:pPr>
    </w:p>
    <w:p w:rsidR="003A0600" w:rsidRPr="00C944CA" w:rsidRDefault="003A0600" w:rsidP="003A0600">
      <w:pPr>
        <w:rPr>
          <w:rFonts w:asciiTheme="majorBidi" w:hAnsiTheme="majorBidi" w:cstheme="majorBidi"/>
          <w:sz w:val="24"/>
          <w:szCs w:val="24"/>
        </w:rPr>
      </w:pPr>
      <w:r w:rsidRPr="00C944CA">
        <w:rPr>
          <w:rFonts w:asciiTheme="majorBidi" w:hAnsiTheme="majorBidi" w:cstheme="majorBidi"/>
          <w:sz w:val="24"/>
          <w:szCs w:val="24"/>
        </w:rPr>
        <w:t xml:space="preserve">La soutenance de thèse de doctorat de </w:t>
      </w:r>
      <w:r w:rsidRPr="00C944CA">
        <w:rPr>
          <w:rFonts w:asciiTheme="majorBidi" w:hAnsiTheme="majorBidi" w:cstheme="majorBidi"/>
          <w:b/>
          <w:bCs/>
          <w:i/>
          <w:iCs/>
          <w:sz w:val="24"/>
          <w:szCs w:val="24"/>
        </w:rPr>
        <w:t xml:space="preserve">CHAIB EDDOUR Ahmed </w:t>
      </w:r>
      <w:proofErr w:type="spellStart"/>
      <w:r w:rsidRPr="00C944CA">
        <w:rPr>
          <w:rFonts w:asciiTheme="majorBidi" w:hAnsiTheme="majorBidi" w:cstheme="majorBidi"/>
          <w:b/>
          <w:bCs/>
          <w:i/>
          <w:iCs/>
          <w:sz w:val="24"/>
          <w:szCs w:val="24"/>
        </w:rPr>
        <w:t>Readh</w:t>
      </w:r>
      <w:proofErr w:type="spellEnd"/>
      <w:r w:rsidRPr="00C944CA">
        <w:rPr>
          <w:rFonts w:asciiTheme="majorBidi" w:hAnsiTheme="majorBidi" w:cstheme="majorBidi"/>
          <w:sz w:val="24"/>
          <w:szCs w:val="24"/>
        </w:rPr>
        <w:t xml:space="preserve"> </w:t>
      </w:r>
    </w:p>
    <w:p w:rsidR="003A0600" w:rsidRPr="00C944CA" w:rsidRDefault="003A0600" w:rsidP="003A0600">
      <w:pPr>
        <w:spacing w:after="0" w:line="240" w:lineRule="auto"/>
        <w:rPr>
          <w:rFonts w:asciiTheme="majorBidi" w:hAnsiTheme="majorBidi" w:cstheme="majorBidi"/>
          <w:sz w:val="24"/>
          <w:szCs w:val="24"/>
        </w:rPr>
      </w:pPr>
      <w:r w:rsidRPr="00C944CA">
        <w:rPr>
          <w:rFonts w:asciiTheme="majorBidi" w:hAnsiTheme="majorBidi" w:cstheme="majorBidi"/>
          <w:b/>
          <w:bCs/>
          <w:sz w:val="24"/>
          <w:szCs w:val="24"/>
        </w:rPr>
        <w:t>Filière:</w:t>
      </w:r>
      <w:r w:rsidRPr="00C944CA">
        <w:rPr>
          <w:rFonts w:asciiTheme="majorBidi" w:hAnsiTheme="majorBidi" w:cstheme="majorBidi"/>
          <w:sz w:val="24"/>
          <w:szCs w:val="24"/>
        </w:rPr>
        <w:t xml:space="preserve"> Sciences agronomiques</w:t>
      </w:r>
    </w:p>
    <w:p w:rsidR="003A0600" w:rsidRPr="00C944CA" w:rsidRDefault="003A0600" w:rsidP="003A0600">
      <w:pPr>
        <w:spacing w:after="0" w:line="240" w:lineRule="auto"/>
        <w:rPr>
          <w:rFonts w:asciiTheme="majorBidi" w:hAnsiTheme="majorBidi" w:cstheme="majorBidi"/>
          <w:sz w:val="24"/>
          <w:szCs w:val="24"/>
        </w:rPr>
      </w:pPr>
      <w:r w:rsidRPr="00C944CA">
        <w:rPr>
          <w:rFonts w:asciiTheme="majorBidi" w:hAnsiTheme="majorBidi" w:cstheme="majorBidi"/>
          <w:b/>
          <w:bCs/>
          <w:sz w:val="24"/>
          <w:szCs w:val="24"/>
        </w:rPr>
        <w:t>Spécialité:</w:t>
      </w:r>
      <w:r w:rsidRPr="00C944CA">
        <w:rPr>
          <w:rFonts w:asciiTheme="majorBidi" w:hAnsiTheme="majorBidi" w:cstheme="majorBidi"/>
          <w:sz w:val="24"/>
          <w:szCs w:val="24"/>
        </w:rPr>
        <w:t xml:space="preserve"> Développement agricole et agroalimentaire</w:t>
      </w:r>
    </w:p>
    <w:p w:rsidR="003A0600" w:rsidRPr="00C944CA" w:rsidRDefault="003A0600" w:rsidP="003A0600">
      <w:pPr>
        <w:jc w:val="center"/>
        <w:rPr>
          <w:rFonts w:asciiTheme="majorBidi" w:hAnsiTheme="majorBidi" w:cstheme="majorBidi"/>
          <w:b/>
          <w:bCs/>
          <w:sz w:val="24"/>
          <w:szCs w:val="24"/>
        </w:rPr>
      </w:pPr>
    </w:p>
    <w:p w:rsidR="003A0600" w:rsidRPr="00C944CA" w:rsidRDefault="003A0600" w:rsidP="0042412C">
      <w:pPr>
        <w:jc w:val="center"/>
        <w:rPr>
          <w:rFonts w:asciiTheme="majorBidi" w:hAnsiTheme="majorBidi" w:cstheme="majorBidi"/>
          <w:sz w:val="24"/>
          <w:szCs w:val="24"/>
        </w:rPr>
      </w:pPr>
      <w:r w:rsidRPr="00C944CA">
        <w:rPr>
          <w:rFonts w:asciiTheme="majorBidi" w:hAnsiTheme="majorBidi" w:cstheme="majorBidi"/>
          <w:b/>
          <w:bCs/>
          <w:sz w:val="24"/>
          <w:szCs w:val="24"/>
        </w:rPr>
        <w:t>Intitulée :</w:t>
      </w:r>
      <w:r w:rsidRPr="00C944CA">
        <w:rPr>
          <w:rFonts w:asciiTheme="majorBidi" w:hAnsiTheme="majorBidi" w:cstheme="majorBidi"/>
          <w:sz w:val="24"/>
          <w:szCs w:val="24"/>
        </w:rPr>
        <w:t xml:space="preserve"> " </w:t>
      </w:r>
      <w:r w:rsidR="0042412C" w:rsidRPr="00C944CA">
        <w:rPr>
          <w:rFonts w:asciiTheme="majorBidi" w:hAnsiTheme="majorBidi" w:cstheme="majorBidi"/>
          <w:b/>
          <w:bCs/>
          <w:sz w:val="24"/>
          <w:szCs w:val="24"/>
        </w:rPr>
        <w:t>Valorisation des coproduits de l’industrie des jus d’orange dans l’alimentation du poulet de chair</w:t>
      </w:r>
      <w:r w:rsidR="0042412C" w:rsidRPr="00C944CA">
        <w:rPr>
          <w:rFonts w:asciiTheme="majorBidi" w:hAnsiTheme="majorBidi" w:cstheme="majorBidi"/>
          <w:sz w:val="24"/>
          <w:szCs w:val="24"/>
        </w:rPr>
        <w:t xml:space="preserve"> </w:t>
      </w:r>
      <w:r w:rsidRPr="00C944CA">
        <w:rPr>
          <w:rFonts w:asciiTheme="majorBidi" w:hAnsiTheme="majorBidi" w:cstheme="majorBidi"/>
          <w:sz w:val="24"/>
          <w:szCs w:val="24"/>
        </w:rPr>
        <w:t>".</w:t>
      </w:r>
    </w:p>
    <w:p w:rsidR="003A0600" w:rsidRPr="00C944CA" w:rsidRDefault="00C944CA" w:rsidP="003A0600">
      <w:pPr>
        <w:jc w:val="center"/>
        <w:rPr>
          <w:rFonts w:asciiTheme="majorBidi" w:hAnsiTheme="majorBidi" w:cstheme="majorBidi"/>
          <w:sz w:val="24"/>
          <w:szCs w:val="24"/>
        </w:rPr>
      </w:pPr>
      <w:r w:rsidRPr="00C944CA">
        <w:rPr>
          <w:rFonts w:asciiTheme="majorBidi" w:hAnsiTheme="majorBidi" w:cstheme="majorBidi"/>
          <w:sz w:val="24"/>
          <w:szCs w:val="24"/>
        </w:rPr>
        <w:t>Aura</w:t>
      </w:r>
      <w:r w:rsidR="003A0600" w:rsidRPr="00C944CA">
        <w:rPr>
          <w:rFonts w:asciiTheme="majorBidi" w:hAnsiTheme="majorBidi" w:cstheme="majorBidi"/>
          <w:sz w:val="24"/>
          <w:szCs w:val="24"/>
        </w:rPr>
        <w:t xml:space="preserve"> lieu </w:t>
      </w:r>
    </w:p>
    <w:p w:rsidR="003A0600" w:rsidRPr="00C944CA" w:rsidRDefault="00D13C8E" w:rsidP="00D13C8E">
      <w:pPr>
        <w:jc w:val="center"/>
        <w:rPr>
          <w:rFonts w:asciiTheme="majorBidi" w:hAnsiTheme="majorBidi" w:cstheme="majorBidi"/>
          <w:b/>
          <w:bCs/>
          <w:sz w:val="24"/>
          <w:szCs w:val="24"/>
        </w:rPr>
      </w:pPr>
      <w:r>
        <w:rPr>
          <w:rFonts w:asciiTheme="majorBidi" w:hAnsiTheme="majorBidi" w:cstheme="majorBidi"/>
          <w:b/>
          <w:bCs/>
          <w:sz w:val="24"/>
          <w:szCs w:val="24"/>
        </w:rPr>
        <w:t>Mardi</w:t>
      </w:r>
      <w:r w:rsidR="0042412C" w:rsidRPr="00C944CA">
        <w:rPr>
          <w:rFonts w:asciiTheme="majorBidi" w:hAnsiTheme="majorBidi" w:cstheme="majorBidi"/>
          <w:b/>
          <w:bCs/>
          <w:sz w:val="24"/>
          <w:szCs w:val="24"/>
        </w:rPr>
        <w:t xml:space="preserve"> </w:t>
      </w:r>
      <w:r>
        <w:rPr>
          <w:rFonts w:asciiTheme="majorBidi" w:hAnsiTheme="majorBidi" w:cstheme="majorBidi"/>
          <w:b/>
          <w:bCs/>
          <w:sz w:val="24"/>
          <w:szCs w:val="24"/>
        </w:rPr>
        <w:t>02</w:t>
      </w:r>
      <w:r w:rsidR="003A0600" w:rsidRPr="00C944CA">
        <w:rPr>
          <w:rFonts w:asciiTheme="majorBidi" w:hAnsiTheme="majorBidi" w:cstheme="majorBidi"/>
          <w:b/>
          <w:bCs/>
          <w:sz w:val="24"/>
          <w:szCs w:val="24"/>
        </w:rPr>
        <w:t xml:space="preserve"> </w:t>
      </w:r>
      <w:r>
        <w:rPr>
          <w:rFonts w:asciiTheme="majorBidi" w:hAnsiTheme="majorBidi" w:cstheme="majorBidi"/>
          <w:b/>
          <w:bCs/>
          <w:sz w:val="24"/>
          <w:szCs w:val="24"/>
        </w:rPr>
        <w:t>juillet</w:t>
      </w:r>
      <w:r w:rsidR="0042412C" w:rsidRPr="00C944CA">
        <w:rPr>
          <w:rFonts w:asciiTheme="majorBidi" w:hAnsiTheme="majorBidi" w:cstheme="majorBidi"/>
          <w:b/>
          <w:bCs/>
          <w:sz w:val="24"/>
          <w:szCs w:val="24"/>
        </w:rPr>
        <w:t xml:space="preserve"> 2024 à 17h00</w:t>
      </w:r>
    </w:p>
    <w:p w:rsidR="003A0600" w:rsidRPr="00C944CA" w:rsidRDefault="00800798" w:rsidP="003A0600">
      <w:pPr>
        <w:jc w:val="center"/>
        <w:rPr>
          <w:rFonts w:asciiTheme="majorBidi" w:hAnsiTheme="majorBidi" w:cstheme="majorBidi"/>
          <w:sz w:val="24"/>
          <w:szCs w:val="24"/>
        </w:rPr>
      </w:pPr>
      <w:r w:rsidRPr="00C944CA">
        <w:rPr>
          <w:rFonts w:asciiTheme="majorBidi" w:hAnsiTheme="majorBidi" w:cstheme="majorBidi"/>
          <w:sz w:val="24"/>
          <w:szCs w:val="24"/>
        </w:rPr>
        <w:t>A</w:t>
      </w:r>
      <w:r>
        <w:rPr>
          <w:rFonts w:asciiTheme="majorBidi" w:hAnsiTheme="majorBidi" w:cstheme="majorBidi"/>
          <w:sz w:val="24"/>
          <w:szCs w:val="24"/>
        </w:rPr>
        <w:t xml:space="preserve">u niveau de l’Amphi 01 </w:t>
      </w:r>
      <w:r w:rsidR="003A0600" w:rsidRPr="00C944CA">
        <w:rPr>
          <w:rFonts w:asciiTheme="majorBidi" w:hAnsiTheme="majorBidi" w:cstheme="majorBidi"/>
          <w:sz w:val="24"/>
          <w:szCs w:val="24"/>
        </w:rPr>
        <w:t>.</w:t>
      </w:r>
      <w:bookmarkStart w:id="0" w:name="_GoBack"/>
      <w:bookmarkEnd w:id="0"/>
    </w:p>
    <w:p w:rsidR="003A0600" w:rsidRPr="00C944CA" w:rsidRDefault="00044E09" w:rsidP="00044E09">
      <w:pPr>
        <w:jc w:val="center"/>
        <w:rPr>
          <w:rFonts w:asciiTheme="majorBidi" w:hAnsiTheme="majorBidi" w:cstheme="majorBidi"/>
          <w:b/>
          <w:bCs/>
          <w:sz w:val="24"/>
          <w:szCs w:val="24"/>
        </w:rPr>
      </w:pPr>
      <w:r w:rsidRPr="00C944CA">
        <w:rPr>
          <w:rFonts w:asciiTheme="majorBidi" w:hAnsiTheme="majorBidi" w:cstheme="majorBidi"/>
          <w:b/>
          <w:bCs/>
          <w:sz w:val="24"/>
          <w:szCs w:val="24"/>
        </w:rPr>
        <w:t>Devant un jury composé 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1559"/>
        <w:gridCol w:w="2694"/>
      </w:tblGrid>
      <w:tr w:rsidR="00C944CA" w:rsidTr="00C944CA">
        <w:tc>
          <w:tcPr>
            <w:tcW w:w="2093" w:type="dxa"/>
          </w:tcPr>
          <w:p w:rsidR="00C944CA" w:rsidRPr="00C944CA" w:rsidRDefault="00C944CA" w:rsidP="00C340F9">
            <w:pPr>
              <w:rPr>
                <w:rFonts w:ascii="Times New Roman" w:hAnsi="Times New Roman" w:cs="Times New Roman"/>
                <w:b/>
                <w:bCs/>
                <w:sz w:val="24"/>
              </w:rPr>
            </w:pPr>
            <w:r w:rsidRPr="00C944CA">
              <w:rPr>
                <w:rFonts w:ascii="Times New Roman" w:hAnsi="Times New Roman" w:cs="Times New Roman"/>
                <w:b/>
                <w:bCs/>
                <w:sz w:val="24"/>
                <w:szCs w:val="24"/>
              </w:rPr>
              <w:t>Nom prénom</w:t>
            </w:r>
          </w:p>
        </w:tc>
        <w:tc>
          <w:tcPr>
            <w:tcW w:w="2693" w:type="dxa"/>
          </w:tcPr>
          <w:p w:rsidR="00C944CA" w:rsidRPr="00C944CA" w:rsidRDefault="00C944CA" w:rsidP="00C340F9">
            <w:pPr>
              <w:rPr>
                <w:rFonts w:ascii="Times New Roman" w:hAnsi="Times New Roman" w:cs="Times New Roman"/>
                <w:b/>
                <w:bCs/>
                <w:sz w:val="24"/>
              </w:rPr>
            </w:pPr>
            <w:r w:rsidRPr="00C944CA">
              <w:rPr>
                <w:rFonts w:ascii="Times New Roman" w:hAnsi="Times New Roman" w:cs="Times New Roman"/>
                <w:b/>
                <w:bCs/>
                <w:sz w:val="24"/>
                <w:szCs w:val="24"/>
              </w:rPr>
              <w:t>Grade</w:t>
            </w:r>
          </w:p>
        </w:tc>
        <w:tc>
          <w:tcPr>
            <w:tcW w:w="1559" w:type="dxa"/>
          </w:tcPr>
          <w:p w:rsidR="00C944CA" w:rsidRPr="00C944CA" w:rsidRDefault="00C944CA" w:rsidP="00C340F9">
            <w:pPr>
              <w:rPr>
                <w:rFonts w:ascii="Times New Roman" w:hAnsi="Times New Roman" w:cs="Times New Roman"/>
                <w:b/>
                <w:bCs/>
                <w:sz w:val="24"/>
              </w:rPr>
            </w:pPr>
            <w:r w:rsidRPr="00C944CA">
              <w:rPr>
                <w:rFonts w:ascii="Times New Roman" w:hAnsi="Times New Roman" w:cs="Times New Roman"/>
                <w:b/>
                <w:bCs/>
                <w:sz w:val="24"/>
                <w:szCs w:val="24"/>
              </w:rPr>
              <w:t xml:space="preserve">Qualité </w:t>
            </w:r>
          </w:p>
        </w:tc>
        <w:tc>
          <w:tcPr>
            <w:tcW w:w="2694" w:type="dxa"/>
          </w:tcPr>
          <w:p w:rsidR="00C944CA" w:rsidRPr="00C944CA" w:rsidRDefault="00C944CA" w:rsidP="00C944CA">
            <w:pPr>
              <w:rPr>
                <w:rFonts w:ascii="Times New Roman" w:hAnsi="Times New Roman" w:cs="Times New Roman"/>
                <w:b/>
                <w:bCs/>
                <w:sz w:val="24"/>
              </w:rPr>
            </w:pPr>
            <w:r w:rsidRPr="00C944CA">
              <w:rPr>
                <w:rFonts w:ascii="Times New Roman" w:hAnsi="Times New Roman" w:cs="Times New Roman"/>
                <w:b/>
                <w:bCs/>
                <w:sz w:val="24"/>
                <w:szCs w:val="24"/>
              </w:rPr>
              <w:t xml:space="preserve">Etablissement  </w:t>
            </w:r>
          </w:p>
        </w:tc>
      </w:tr>
      <w:tr w:rsidR="00C944CA" w:rsidTr="00C944CA">
        <w:trPr>
          <w:trHeight w:val="706"/>
        </w:trPr>
        <w:tc>
          <w:tcPr>
            <w:tcW w:w="2093" w:type="dxa"/>
          </w:tcPr>
          <w:p w:rsidR="00C944CA" w:rsidRDefault="00C944CA" w:rsidP="00C340F9">
            <w:pPr>
              <w:rPr>
                <w:rFonts w:ascii="Times New Roman" w:hAnsi="Times New Roman" w:cs="Times New Roman"/>
                <w:sz w:val="24"/>
              </w:rPr>
            </w:pPr>
            <w:proofErr w:type="spellStart"/>
            <w:r>
              <w:rPr>
                <w:rFonts w:ascii="Times New Roman" w:eastAsia="SimSun" w:hAnsi="Times New Roman" w:cs="Times New Roman"/>
                <w:color w:val="000000"/>
                <w:sz w:val="24"/>
                <w:szCs w:val="24"/>
                <w:lang w:val="en-US" w:eastAsia="zh-CN" w:bidi="ar"/>
              </w:rPr>
              <w:t>Belkacemi</w:t>
            </w:r>
            <w:proofErr w:type="spellEnd"/>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 xml:space="preserve">  Lo</w:t>
            </w:r>
            <w:proofErr w:type="spellStart"/>
            <w:r>
              <w:rPr>
                <w:rFonts w:ascii="Times New Roman" w:eastAsia="SimSun" w:hAnsi="Times New Roman" w:cs="Times New Roman"/>
                <w:color w:val="000000"/>
                <w:sz w:val="24"/>
                <w:szCs w:val="24"/>
                <w:lang w:val="en-US" w:eastAsia="zh-CN" w:bidi="ar"/>
              </w:rPr>
              <w:t>uiza</w:t>
            </w:r>
            <w:proofErr w:type="spellEnd"/>
            <w:r>
              <w:rPr>
                <w:rFonts w:ascii="Times New Roman" w:eastAsia="SimSun" w:hAnsi="Times New Roman" w:cs="Times New Roman"/>
                <w:color w:val="000000"/>
                <w:sz w:val="24"/>
                <w:szCs w:val="24"/>
                <w:lang w:val="en-US" w:eastAsia="zh-CN" w:bidi="ar"/>
              </w:rPr>
              <w:t xml:space="preserve"> </w:t>
            </w:r>
          </w:p>
        </w:tc>
        <w:tc>
          <w:tcPr>
            <w:tcW w:w="2693" w:type="dxa"/>
          </w:tcPr>
          <w:p w:rsidR="00C944CA" w:rsidRDefault="00C944CA" w:rsidP="00C340F9">
            <w:pPr>
              <w:rPr>
                <w:rFonts w:ascii="Times New Roman" w:hAnsi="Times New Roman" w:cs="Times New Roman"/>
                <w:sz w:val="24"/>
              </w:rPr>
            </w:pPr>
            <w:proofErr w:type="spellStart"/>
            <w:r>
              <w:rPr>
                <w:rFonts w:ascii="Times New Roman" w:eastAsia="SimSun" w:hAnsi="Times New Roman" w:cs="Times New Roman"/>
                <w:color w:val="000000"/>
                <w:sz w:val="24"/>
                <w:szCs w:val="24"/>
                <w:lang w:val="en-US" w:eastAsia="zh-CN" w:bidi="ar"/>
              </w:rPr>
              <w:t>Professeur</w:t>
            </w:r>
            <w:proofErr w:type="spellEnd"/>
          </w:p>
        </w:tc>
        <w:tc>
          <w:tcPr>
            <w:tcW w:w="1559"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Présidente</w:t>
            </w:r>
          </w:p>
        </w:tc>
        <w:tc>
          <w:tcPr>
            <w:tcW w:w="2694"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ESA Mostaganem</w:t>
            </w:r>
          </w:p>
        </w:tc>
      </w:tr>
      <w:tr w:rsidR="00C944CA" w:rsidTr="00C944CA">
        <w:tc>
          <w:tcPr>
            <w:tcW w:w="20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LITIM Miloud</w:t>
            </w:r>
          </w:p>
        </w:tc>
        <w:tc>
          <w:tcPr>
            <w:tcW w:w="26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Maitre de conférences A</w:t>
            </w:r>
          </w:p>
        </w:tc>
        <w:tc>
          <w:tcPr>
            <w:tcW w:w="1559"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Directeur de thèse</w:t>
            </w:r>
          </w:p>
        </w:tc>
        <w:tc>
          <w:tcPr>
            <w:tcW w:w="2694"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ESA Mostaganem</w:t>
            </w:r>
          </w:p>
        </w:tc>
      </w:tr>
      <w:tr w:rsidR="00C944CA" w:rsidTr="00C944CA">
        <w:tc>
          <w:tcPr>
            <w:tcW w:w="2093" w:type="dxa"/>
          </w:tcPr>
          <w:p w:rsidR="00C944CA" w:rsidRDefault="00C944CA" w:rsidP="00C340F9">
            <w:pPr>
              <w:rPr>
                <w:rFonts w:ascii="Times New Roman" w:hAnsi="Times New Roman" w:cs="Times New Roman"/>
                <w:sz w:val="24"/>
              </w:rPr>
            </w:pPr>
            <w:proofErr w:type="spellStart"/>
            <w:r>
              <w:rPr>
                <w:rFonts w:ascii="Times New Roman" w:hAnsi="Times New Roman" w:cs="Times New Roman"/>
                <w:sz w:val="24"/>
                <w:szCs w:val="24"/>
              </w:rPr>
              <w:t>Bouderoua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Kaddour</w:t>
            </w:r>
            <w:proofErr w:type="spellEnd"/>
          </w:p>
        </w:tc>
        <w:tc>
          <w:tcPr>
            <w:tcW w:w="26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Professeur</w:t>
            </w:r>
          </w:p>
        </w:tc>
        <w:tc>
          <w:tcPr>
            <w:tcW w:w="1559" w:type="dxa"/>
          </w:tcPr>
          <w:p w:rsidR="00C944CA" w:rsidRDefault="00C944CA" w:rsidP="00C944CA">
            <w:pPr>
              <w:rPr>
                <w:rFonts w:ascii="Times New Roman" w:hAnsi="Times New Roman" w:cs="Times New Roman"/>
                <w:sz w:val="24"/>
              </w:rPr>
            </w:pPr>
            <w:r>
              <w:rPr>
                <w:rFonts w:ascii="Times New Roman" w:hAnsi="Times New Roman" w:cs="Times New Roman"/>
                <w:sz w:val="24"/>
                <w:szCs w:val="24"/>
              </w:rPr>
              <w:t>Co- directeur de thèse</w:t>
            </w:r>
          </w:p>
        </w:tc>
        <w:tc>
          <w:tcPr>
            <w:tcW w:w="2694" w:type="dxa"/>
          </w:tcPr>
          <w:p w:rsidR="00C944CA" w:rsidRDefault="00C944CA" w:rsidP="00C340F9">
            <w:pPr>
              <w:rPr>
                <w:rFonts w:ascii="Times New Roman" w:hAnsi="Times New Roman" w:cs="Times New Roman"/>
                <w:sz w:val="24"/>
              </w:rPr>
            </w:pPr>
            <w:proofErr w:type="spellStart"/>
            <w:r>
              <w:rPr>
                <w:rFonts w:ascii="Times New Roman" w:hAnsi="Times New Roman" w:cs="Times New Roman"/>
                <w:sz w:val="24"/>
                <w:szCs w:val="24"/>
              </w:rPr>
              <w:t>Univ</w:t>
            </w:r>
            <w:proofErr w:type="spellEnd"/>
            <w:r>
              <w:rPr>
                <w:rFonts w:ascii="Times New Roman" w:hAnsi="Times New Roman" w:cs="Times New Roman"/>
                <w:sz w:val="24"/>
                <w:szCs w:val="24"/>
              </w:rPr>
              <w:t xml:space="preserve"> Mostaganem</w:t>
            </w:r>
          </w:p>
        </w:tc>
      </w:tr>
      <w:tr w:rsidR="00C944CA" w:rsidTr="00C944CA">
        <w:tc>
          <w:tcPr>
            <w:tcW w:w="2093" w:type="dxa"/>
          </w:tcPr>
          <w:p w:rsidR="00C944CA" w:rsidRDefault="00C944CA" w:rsidP="00C340F9">
            <w:pPr>
              <w:rPr>
                <w:rFonts w:ascii="Times New Roman" w:hAnsi="Times New Roman" w:cs="Times New Roman"/>
                <w:sz w:val="24"/>
              </w:rPr>
            </w:pPr>
            <w:proofErr w:type="spellStart"/>
            <w:r>
              <w:rPr>
                <w:rFonts w:ascii="Times New Roman" w:hAnsi="Times New Roman" w:cs="Times New Roman"/>
                <w:sz w:val="24"/>
                <w:szCs w:val="24"/>
              </w:rPr>
              <w:t>Bekada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Ahemd</w:t>
            </w:r>
            <w:proofErr w:type="spellEnd"/>
            <w:r>
              <w:rPr>
                <w:rFonts w:ascii="Times New Roman" w:hAnsi="Times New Roman" w:cs="Times New Roman"/>
                <w:sz w:val="24"/>
                <w:szCs w:val="24"/>
              </w:rPr>
              <w:t xml:space="preserve"> Ali</w:t>
            </w:r>
          </w:p>
        </w:tc>
        <w:tc>
          <w:tcPr>
            <w:tcW w:w="26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 xml:space="preserve">Professeur </w:t>
            </w:r>
          </w:p>
        </w:tc>
        <w:tc>
          <w:tcPr>
            <w:tcW w:w="1559"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 xml:space="preserve">Examinateur </w:t>
            </w:r>
          </w:p>
        </w:tc>
        <w:tc>
          <w:tcPr>
            <w:tcW w:w="2694" w:type="dxa"/>
          </w:tcPr>
          <w:p w:rsidR="00C944CA" w:rsidRDefault="00C944CA" w:rsidP="00C340F9">
            <w:pPr>
              <w:rPr>
                <w:rFonts w:ascii="Times New Roman" w:hAnsi="Times New Roman" w:cs="Times New Roman"/>
                <w:sz w:val="24"/>
              </w:rPr>
            </w:pPr>
            <w:proofErr w:type="spellStart"/>
            <w:r>
              <w:rPr>
                <w:rFonts w:ascii="Times New Roman" w:hAnsi="Times New Roman" w:cs="Times New Roman"/>
                <w:sz w:val="24"/>
                <w:szCs w:val="24"/>
              </w:rPr>
              <w:t>Univ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Tissemsilet</w:t>
            </w:r>
            <w:proofErr w:type="spellEnd"/>
          </w:p>
        </w:tc>
      </w:tr>
      <w:tr w:rsidR="00C944CA" w:rsidTr="00C944CA">
        <w:tc>
          <w:tcPr>
            <w:tcW w:w="20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Ait Saada Djamel</w:t>
            </w:r>
          </w:p>
        </w:tc>
        <w:tc>
          <w:tcPr>
            <w:tcW w:w="26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Maitre de conférences A</w:t>
            </w:r>
          </w:p>
        </w:tc>
        <w:tc>
          <w:tcPr>
            <w:tcW w:w="1559"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Examinateur</w:t>
            </w:r>
          </w:p>
        </w:tc>
        <w:tc>
          <w:tcPr>
            <w:tcW w:w="2694" w:type="dxa"/>
          </w:tcPr>
          <w:p w:rsidR="00C944CA" w:rsidRDefault="00C944CA" w:rsidP="00C340F9">
            <w:pPr>
              <w:rPr>
                <w:rFonts w:ascii="Times New Roman" w:hAnsi="Times New Roman" w:cs="Times New Roman"/>
                <w:sz w:val="24"/>
              </w:rPr>
            </w:pPr>
            <w:proofErr w:type="spellStart"/>
            <w:r>
              <w:rPr>
                <w:rFonts w:ascii="Times New Roman" w:hAnsi="Times New Roman" w:cs="Times New Roman"/>
                <w:sz w:val="24"/>
                <w:szCs w:val="24"/>
              </w:rPr>
              <w:t>Univ</w:t>
            </w:r>
            <w:proofErr w:type="spellEnd"/>
            <w:r>
              <w:rPr>
                <w:rFonts w:ascii="Times New Roman" w:hAnsi="Times New Roman" w:cs="Times New Roman"/>
                <w:sz w:val="24"/>
                <w:szCs w:val="24"/>
              </w:rPr>
              <w:t xml:space="preserve"> Mostaganem</w:t>
            </w:r>
          </w:p>
        </w:tc>
      </w:tr>
      <w:tr w:rsidR="00C944CA" w:rsidTr="00C944CA">
        <w:tc>
          <w:tcPr>
            <w:tcW w:w="2093" w:type="dxa"/>
          </w:tcPr>
          <w:p w:rsidR="00C944CA" w:rsidRDefault="00C944CA" w:rsidP="00C340F9">
            <w:pPr>
              <w:rPr>
                <w:rFonts w:ascii="Times New Roman" w:hAnsi="Times New Roman" w:cs="Times New Roman"/>
                <w:sz w:val="24"/>
              </w:rPr>
            </w:pPr>
            <w:proofErr w:type="spellStart"/>
            <w:r>
              <w:rPr>
                <w:rFonts w:ascii="Times New Roman" w:hAnsi="Times New Roman" w:cs="Times New Roman"/>
                <w:sz w:val="24"/>
                <w:szCs w:val="24"/>
              </w:rPr>
              <w:t>Berrighi</w:t>
            </w:r>
            <w:proofErr w:type="spellEnd"/>
            <w:r>
              <w:rPr>
                <w:rFonts w:ascii="Times New Roman" w:hAnsi="Times New Roman" w:cs="Times New Roman"/>
                <w:sz w:val="24"/>
                <w:szCs w:val="24"/>
              </w:rPr>
              <w:t xml:space="preserve"> Nabila</w:t>
            </w:r>
          </w:p>
        </w:tc>
        <w:tc>
          <w:tcPr>
            <w:tcW w:w="2693"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Maitre de conférences A</w:t>
            </w:r>
          </w:p>
        </w:tc>
        <w:tc>
          <w:tcPr>
            <w:tcW w:w="1559"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 xml:space="preserve">Examinateur </w:t>
            </w:r>
          </w:p>
        </w:tc>
        <w:tc>
          <w:tcPr>
            <w:tcW w:w="2694" w:type="dxa"/>
          </w:tcPr>
          <w:p w:rsidR="00C944CA" w:rsidRDefault="00C944CA" w:rsidP="00C340F9">
            <w:pPr>
              <w:rPr>
                <w:rFonts w:ascii="Times New Roman" w:hAnsi="Times New Roman" w:cs="Times New Roman"/>
                <w:sz w:val="24"/>
              </w:rPr>
            </w:pPr>
            <w:r>
              <w:rPr>
                <w:rFonts w:ascii="Times New Roman" w:hAnsi="Times New Roman" w:cs="Times New Roman"/>
                <w:sz w:val="24"/>
                <w:szCs w:val="24"/>
              </w:rPr>
              <w:t>ESA Mostaganem</w:t>
            </w:r>
          </w:p>
        </w:tc>
      </w:tr>
    </w:tbl>
    <w:p w:rsidR="003A0600" w:rsidRDefault="003A0600" w:rsidP="003A0600">
      <w:pPr>
        <w:rPr>
          <w:rFonts w:cs="Arial"/>
        </w:rPr>
      </w:pPr>
    </w:p>
    <w:p w:rsidR="003A0600" w:rsidRDefault="003A0600" w:rsidP="003A0600">
      <w:pPr>
        <w:rPr>
          <w:rFonts w:cs="Arial"/>
        </w:rPr>
      </w:pPr>
    </w:p>
    <w:p w:rsidR="003A0600" w:rsidRPr="00044E09" w:rsidRDefault="003A0600" w:rsidP="003A0600">
      <w:pPr>
        <w:rPr>
          <w:b/>
          <w:bCs/>
          <w:sz w:val="24"/>
          <w:szCs w:val="24"/>
        </w:rPr>
      </w:pPr>
      <w:r w:rsidRPr="00044E09">
        <w:rPr>
          <w:b/>
          <w:bCs/>
          <w:sz w:val="24"/>
          <w:szCs w:val="24"/>
        </w:rPr>
        <w:t>Résumé :</w:t>
      </w:r>
    </w:p>
    <w:p w:rsidR="00C944CA" w:rsidRPr="009602CB" w:rsidRDefault="00C944CA" w:rsidP="00C944CA">
      <w:pPr>
        <w:jc w:val="both"/>
        <w:rPr>
          <w:rFonts w:ascii="Times New Roman" w:hAnsi="Times New Roman" w:cs="Times New Roman"/>
          <w:sz w:val="24"/>
          <w:szCs w:val="24"/>
        </w:rPr>
      </w:pPr>
      <w:r w:rsidRPr="006748AD">
        <w:rPr>
          <w:rFonts w:ascii="Times New Roman" w:hAnsi="Times New Roman" w:cs="Times New Roman"/>
          <w:sz w:val="24"/>
          <w:szCs w:val="24"/>
        </w:rPr>
        <w:t>Les sous-produits agricoles peuvent jouer un rôle important dans la nutrition des volailles en tant qu’alternative aux ressources alimentaires traditionnelles telles que le maïs, le son de blé ainsi que les tourteaux de soja. La poudre issue des sous-produits des oranges présente un potentiel prometteur en tant que source de nutriments essentiels et d'antioxydants. L’objectif de la première étude est d’évaluer l’impact de la substitution partielle du maïs par les sous-produits des oranges sur les performances de croissance, les caractéristiques des carcasses après abattage, ainsi que sur les qualités physico-chimiques et sensorielles de la viande des poulets de chair.</w:t>
      </w:r>
      <w:r>
        <w:rPr>
          <w:rFonts w:ascii="Times New Roman" w:hAnsi="Times New Roman" w:cs="Times New Roman"/>
          <w:sz w:val="24"/>
          <w:szCs w:val="24"/>
        </w:rPr>
        <w:t xml:space="preserve"> </w:t>
      </w:r>
      <w:r w:rsidRPr="006748AD">
        <w:rPr>
          <w:rFonts w:ascii="Times New Roman" w:hAnsi="Times New Roman" w:cs="Times New Roman"/>
          <w:sz w:val="24"/>
          <w:szCs w:val="24"/>
        </w:rPr>
        <w:t xml:space="preserve">L'expérience a été menée durant la période de mars à avril 2021 sur 200 poussins de souche Arbor Acres âgés d'un jour. Les poussins ont été répartis au 15ème jour en quatre groupes de traitement de 50 sujets chacun, avec cinq répétitions par traitement. Trois doses de POS ont été testées : 50, 100 et 150 g/kg, ainsi qu'un groupe témoin sans POS. Après 49 jours d’élevage, dix poulets </w:t>
      </w:r>
      <w:r>
        <w:rPr>
          <w:rFonts w:ascii="Times New Roman" w:hAnsi="Times New Roman" w:cs="Times New Roman"/>
          <w:sz w:val="24"/>
          <w:szCs w:val="24"/>
        </w:rPr>
        <w:t xml:space="preserve">de </w:t>
      </w:r>
      <w:r w:rsidRPr="006748AD">
        <w:rPr>
          <w:rFonts w:ascii="Times New Roman" w:hAnsi="Times New Roman" w:cs="Times New Roman"/>
          <w:sz w:val="24"/>
          <w:szCs w:val="24"/>
        </w:rPr>
        <w:t xml:space="preserve">chaque groupe </w:t>
      </w:r>
      <w:r>
        <w:rPr>
          <w:rFonts w:ascii="Times New Roman" w:hAnsi="Times New Roman" w:cs="Times New Roman"/>
          <w:sz w:val="24"/>
          <w:szCs w:val="24"/>
        </w:rPr>
        <w:t>ont été abattus</w:t>
      </w:r>
      <w:r w:rsidRPr="006748AD">
        <w:rPr>
          <w:rFonts w:ascii="Times New Roman" w:hAnsi="Times New Roman" w:cs="Times New Roman"/>
          <w:sz w:val="24"/>
          <w:szCs w:val="24"/>
        </w:rPr>
        <w:t>. Les résultats ont démontré que l’incorporation de POS dans l’alimentation améliore les poids vifs, l’indice de consommation durant les différentes phases d’élevage, diminue l</w:t>
      </w:r>
      <w:r>
        <w:rPr>
          <w:rFonts w:ascii="Times New Roman" w:hAnsi="Times New Roman" w:cs="Times New Roman"/>
          <w:sz w:val="24"/>
          <w:szCs w:val="24"/>
        </w:rPr>
        <w:t>a graisse a</w:t>
      </w:r>
      <w:r w:rsidRPr="006748AD">
        <w:rPr>
          <w:rFonts w:ascii="Times New Roman" w:hAnsi="Times New Roman" w:cs="Times New Roman"/>
          <w:sz w:val="24"/>
          <w:szCs w:val="24"/>
        </w:rPr>
        <w:t>bdominal</w:t>
      </w:r>
      <w:r>
        <w:rPr>
          <w:rFonts w:ascii="Times New Roman" w:hAnsi="Times New Roman" w:cs="Times New Roman"/>
          <w:sz w:val="24"/>
          <w:szCs w:val="24"/>
        </w:rPr>
        <w:t>e</w:t>
      </w:r>
      <w:r w:rsidRPr="006748AD">
        <w:rPr>
          <w:rFonts w:ascii="Times New Roman" w:hAnsi="Times New Roman" w:cs="Times New Roman"/>
          <w:sz w:val="24"/>
          <w:szCs w:val="24"/>
        </w:rPr>
        <w:t xml:space="preserve"> et augmente le rendement hépatique (P &lt; 0,05).</w:t>
      </w:r>
      <w:r>
        <w:rPr>
          <w:rFonts w:ascii="Times New Roman" w:hAnsi="Times New Roman" w:cs="Times New Roman"/>
          <w:sz w:val="24"/>
          <w:szCs w:val="24"/>
        </w:rPr>
        <w:t xml:space="preserve"> Les deux dernières semaines d’élevage ont démontré que les poulets du groupe 5% POS ont un FCR réduit ainsi qu’une augmentation du poids vif élevé de plus de 0,2 kg en comparaison au groupe témoin. En outre, la deuxième partie de cette première étude a mis en évidence les effets bénéfiques de cet ingrédient de la ration alimentaire sur la peroxydation lipidique et les attributs sensoriels de la viande des deux muscles (</w:t>
      </w:r>
      <w:proofErr w:type="spellStart"/>
      <w:r>
        <w:rPr>
          <w:rFonts w:ascii="Times New Roman" w:hAnsi="Times New Roman" w:cs="Times New Roman"/>
          <w:i/>
          <w:iCs/>
          <w:sz w:val="24"/>
          <w:szCs w:val="24"/>
        </w:rPr>
        <w:t>Pectoralis</w:t>
      </w:r>
      <w:proofErr w:type="spellEnd"/>
      <w:r>
        <w:rPr>
          <w:rFonts w:ascii="Times New Roman" w:hAnsi="Times New Roman" w:cs="Times New Roman"/>
          <w:i/>
          <w:iCs/>
          <w:sz w:val="24"/>
          <w:szCs w:val="24"/>
        </w:rPr>
        <w:t xml:space="preserve"> Major</w:t>
      </w:r>
      <w:r>
        <w:rPr>
          <w:rFonts w:ascii="Times New Roman" w:hAnsi="Times New Roman" w:cs="Times New Roman"/>
          <w:sz w:val="24"/>
          <w:szCs w:val="24"/>
        </w:rPr>
        <w:t xml:space="preserve"> et </w:t>
      </w:r>
      <w:proofErr w:type="spellStart"/>
      <w:r>
        <w:rPr>
          <w:rFonts w:ascii="Times New Roman" w:hAnsi="Times New Roman" w:cs="Times New Roman"/>
          <w:i/>
          <w:iCs/>
          <w:sz w:val="24"/>
          <w:szCs w:val="24"/>
        </w:rPr>
        <w:t>Sartorius</w:t>
      </w:r>
      <w:proofErr w:type="spellEnd"/>
      <w:r>
        <w:rPr>
          <w:rFonts w:ascii="Times New Roman" w:hAnsi="Times New Roman" w:cs="Times New Roman"/>
          <w:sz w:val="24"/>
          <w:szCs w:val="24"/>
        </w:rPr>
        <w:t xml:space="preserve">). Des réductions significatives (P &lt; 0,05) des concentrations du MDA sont constatées dans la viande des poulets des groupes POS par rapport à la viande du groupe témoin. Toutefois, l’incorporation de la pulpe d’orange séchée dans les rations alimentaires des poulets permet de réduire les pourcentages de la matière grasse et les valeurs des MDA de plus de 65% et 60% dans les muscles </w:t>
      </w:r>
      <w:proofErr w:type="spellStart"/>
      <w:r>
        <w:rPr>
          <w:rFonts w:ascii="Times New Roman" w:hAnsi="Times New Roman" w:cs="Times New Roman"/>
          <w:i/>
          <w:iCs/>
          <w:sz w:val="24"/>
          <w:szCs w:val="24"/>
        </w:rPr>
        <w:t>Pectoralis</w:t>
      </w:r>
      <w:proofErr w:type="spellEnd"/>
      <w:r>
        <w:rPr>
          <w:rFonts w:ascii="Times New Roman" w:hAnsi="Times New Roman" w:cs="Times New Roman"/>
          <w:i/>
          <w:iCs/>
          <w:sz w:val="24"/>
          <w:szCs w:val="24"/>
        </w:rPr>
        <w:t xml:space="preserve"> Major</w:t>
      </w:r>
      <w:r>
        <w:rPr>
          <w:rFonts w:ascii="Times New Roman" w:hAnsi="Times New Roman" w:cs="Times New Roman"/>
          <w:sz w:val="24"/>
          <w:szCs w:val="24"/>
        </w:rPr>
        <w:t xml:space="preserve"> des poulets dans les groupes 5% et 10% POS, respectivement. L’analyse statistique a révélé les mêmes résultats dans le muscle de la cuisse chez les poulets des groupes 5, 10 et 15 % avec des réductions de 64.3, 60,8 et 64,3%, respectivement. Nos résultats sur l’analyse sensorielle de la viande du muscle </w:t>
      </w:r>
      <w:proofErr w:type="spellStart"/>
      <w:r w:rsidRPr="009371F0">
        <w:rPr>
          <w:rFonts w:ascii="Times New Roman" w:hAnsi="Times New Roman" w:cs="Times New Roman"/>
          <w:i/>
          <w:iCs/>
          <w:sz w:val="24"/>
          <w:szCs w:val="24"/>
        </w:rPr>
        <w:t>Sartorius</w:t>
      </w:r>
      <w:proofErr w:type="spellEnd"/>
      <w:r>
        <w:rPr>
          <w:rFonts w:ascii="Times New Roman" w:hAnsi="Times New Roman" w:cs="Times New Roman"/>
          <w:sz w:val="24"/>
          <w:szCs w:val="24"/>
        </w:rPr>
        <w:t xml:space="preserve"> ont démontré que l’ensemble des dégustateurs ont préféré la viande des poulets nourris avec une ration ou le maïs est substitué partiellement par la pulpe d’orange (P &lt; 0,05). </w:t>
      </w:r>
      <w:r w:rsidRPr="008A7EB9">
        <w:rPr>
          <w:rFonts w:ascii="Times New Roman" w:hAnsi="Times New Roman" w:cs="Times New Roman"/>
          <w:sz w:val="24"/>
          <w:szCs w:val="24"/>
        </w:rPr>
        <w:t xml:space="preserve">Une seconde étude a ensuite été réalisée afin d'évaluer les effets de la pulpe d’orange sur le métabolisme sérique, en analysant divers paramètres biochimiques sanguins ainsi que les caractéristiques </w:t>
      </w:r>
      <w:proofErr w:type="spellStart"/>
      <w:r w:rsidRPr="008A7EB9">
        <w:rPr>
          <w:rFonts w:ascii="Times New Roman" w:hAnsi="Times New Roman" w:cs="Times New Roman"/>
          <w:sz w:val="24"/>
          <w:szCs w:val="24"/>
        </w:rPr>
        <w:t>histomorphologiques</w:t>
      </w:r>
      <w:proofErr w:type="spellEnd"/>
      <w:r w:rsidRPr="008A7EB9">
        <w:rPr>
          <w:rFonts w:ascii="Times New Roman" w:hAnsi="Times New Roman" w:cs="Times New Roman"/>
          <w:sz w:val="24"/>
          <w:szCs w:val="24"/>
        </w:rPr>
        <w:t xml:space="preserve"> et l’histopathologie de certains organes (foie, rate et bourse de Fabricius) chez les poulets de chair.</w:t>
      </w:r>
      <w:r w:rsidRPr="002815CB">
        <w:t xml:space="preserve"> </w:t>
      </w:r>
      <w:r w:rsidRPr="002815CB">
        <w:rPr>
          <w:rFonts w:ascii="Times New Roman" w:hAnsi="Times New Roman" w:cs="Times New Roman"/>
          <w:sz w:val="24"/>
          <w:szCs w:val="24"/>
        </w:rPr>
        <w:t xml:space="preserve">Concernant le profil biochimique, les résultats ont démontré </w:t>
      </w:r>
      <w:r>
        <w:rPr>
          <w:rFonts w:ascii="Times New Roman" w:hAnsi="Times New Roman" w:cs="Times New Roman"/>
          <w:sz w:val="24"/>
          <w:szCs w:val="24"/>
        </w:rPr>
        <w:t xml:space="preserve">des </w:t>
      </w:r>
      <w:r w:rsidRPr="002815CB">
        <w:rPr>
          <w:rFonts w:ascii="Times New Roman" w:hAnsi="Times New Roman" w:cs="Times New Roman"/>
          <w:sz w:val="24"/>
          <w:szCs w:val="24"/>
        </w:rPr>
        <w:t>diminution</w:t>
      </w:r>
      <w:r>
        <w:rPr>
          <w:rFonts w:ascii="Times New Roman" w:hAnsi="Times New Roman" w:cs="Times New Roman"/>
          <w:sz w:val="24"/>
          <w:szCs w:val="24"/>
        </w:rPr>
        <w:t>s</w:t>
      </w:r>
      <w:r w:rsidRPr="002815CB">
        <w:rPr>
          <w:rFonts w:ascii="Times New Roman" w:hAnsi="Times New Roman" w:cs="Times New Roman"/>
          <w:sz w:val="24"/>
          <w:szCs w:val="24"/>
        </w:rPr>
        <w:t xml:space="preserve"> significative</w:t>
      </w:r>
      <w:r>
        <w:rPr>
          <w:rFonts w:ascii="Times New Roman" w:hAnsi="Times New Roman" w:cs="Times New Roman"/>
          <w:sz w:val="24"/>
          <w:szCs w:val="24"/>
        </w:rPr>
        <w:t>s</w:t>
      </w:r>
      <w:r w:rsidRPr="002815CB">
        <w:rPr>
          <w:rFonts w:ascii="Times New Roman" w:hAnsi="Times New Roman" w:cs="Times New Roman"/>
          <w:sz w:val="24"/>
          <w:szCs w:val="24"/>
        </w:rPr>
        <w:t xml:space="preserve"> (P &lt; 0,05) des taux de cholestérol total et de triglycérides sériques chez les groupes nourris avec la POS par rapport aux témoins.</w:t>
      </w:r>
      <w:r>
        <w:rPr>
          <w:rFonts w:ascii="Times New Roman" w:hAnsi="Times New Roman" w:cs="Times New Roman"/>
          <w:sz w:val="24"/>
          <w:szCs w:val="24"/>
        </w:rPr>
        <w:t xml:space="preserve"> En outre, les activités les plus élevées des enzymes hépatiques et du stress musculaire ont été observées dans le groupe témoin par rapport aux autres traitements (P &lt; 0.05). </w:t>
      </w:r>
      <w:r w:rsidRPr="002815CB">
        <w:rPr>
          <w:rFonts w:ascii="Times New Roman" w:hAnsi="Times New Roman" w:cs="Times New Roman"/>
          <w:sz w:val="24"/>
          <w:szCs w:val="24"/>
        </w:rPr>
        <w:t>Les valeurs du glucose et des protéines totales sériques ont montré des augmentations linéaires (P &lt; 0,05) à mesure que la dose de POS augmentait dans l'alimentation.</w:t>
      </w:r>
      <w:r w:rsidRPr="002752CB">
        <w:t xml:space="preserve"> </w:t>
      </w:r>
      <w:r w:rsidRPr="002752CB">
        <w:rPr>
          <w:rFonts w:ascii="Times New Roman" w:hAnsi="Times New Roman" w:cs="Times New Roman"/>
          <w:sz w:val="24"/>
          <w:szCs w:val="24"/>
        </w:rPr>
        <w:t xml:space="preserve">Après 49 </w:t>
      </w:r>
      <w:r w:rsidRPr="002752CB">
        <w:rPr>
          <w:rFonts w:ascii="Times New Roman" w:hAnsi="Times New Roman" w:cs="Times New Roman"/>
          <w:sz w:val="24"/>
          <w:szCs w:val="24"/>
        </w:rPr>
        <w:lastRenderedPageBreak/>
        <w:t>jours, l'incorporation de 15% de pulpe d’orange a entraîné une baisse significative (P &lt; 0,05) de l'activité des enzymes ASAT, LDH et CK, avec des réductions respectives de 14, 39 et 44% en comparaison des témoins.</w:t>
      </w:r>
      <w:r>
        <w:rPr>
          <w:rFonts w:ascii="Times New Roman" w:hAnsi="Times New Roman" w:cs="Times New Roman"/>
          <w:sz w:val="24"/>
          <w:szCs w:val="24"/>
        </w:rPr>
        <w:t xml:space="preserve"> </w:t>
      </w:r>
      <w:r w:rsidRPr="008A7EB9">
        <w:rPr>
          <w:rFonts w:ascii="Times New Roman" w:hAnsi="Times New Roman" w:cs="Times New Roman"/>
          <w:sz w:val="24"/>
          <w:szCs w:val="24"/>
        </w:rPr>
        <w:t>Des corrélations négatives entre la glycémie et les enzymes hépatiques ainsi que les marqueurs rénaux et musculaires ont par ailleurs été mises en évidence</w:t>
      </w:r>
      <w:r>
        <w:rPr>
          <w:rFonts w:ascii="Times New Roman" w:hAnsi="Times New Roman" w:cs="Times New Roman"/>
          <w:sz w:val="24"/>
          <w:szCs w:val="24"/>
        </w:rPr>
        <w:t xml:space="preserve"> </w:t>
      </w:r>
      <w:r w:rsidRPr="00472B56">
        <w:rPr>
          <w:rFonts w:ascii="Times New Roman" w:hAnsi="Times New Roman" w:cs="Times New Roman"/>
          <w:sz w:val="24"/>
          <w:szCs w:val="24"/>
        </w:rPr>
        <w:t>(P &lt; 0.05)</w:t>
      </w:r>
      <w:r w:rsidRPr="008A7EB9">
        <w:rPr>
          <w:rFonts w:ascii="Times New Roman" w:hAnsi="Times New Roman" w:cs="Times New Roman"/>
          <w:sz w:val="24"/>
          <w:szCs w:val="24"/>
        </w:rPr>
        <w:t>, indiquant une origine nutritionnelle de l’hyperglycémie.</w:t>
      </w:r>
      <w:r>
        <w:rPr>
          <w:rFonts w:ascii="Times New Roman" w:hAnsi="Times New Roman" w:cs="Times New Roman"/>
          <w:sz w:val="24"/>
          <w:szCs w:val="24"/>
        </w:rPr>
        <w:t xml:space="preserve"> </w:t>
      </w:r>
      <w:r w:rsidRPr="00472B56">
        <w:rPr>
          <w:rFonts w:ascii="Times New Roman" w:hAnsi="Times New Roman" w:cs="Times New Roman"/>
          <w:sz w:val="24"/>
          <w:szCs w:val="24"/>
        </w:rPr>
        <w:t>L'analyse histologique a démontré que l'inc</w:t>
      </w:r>
      <w:r>
        <w:rPr>
          <w:rFonts w:ascii="Times New Roman" w:hAnsi="Times New Roman" w:cs="Times New Roman"/>
          <w:sz w:val="24"/>
          <w:szCs w:val="24"/>
        </w:rPr>
        <w:t xml:space="preserve">lusion </w:t>
      </w:r>
      <w:r w:rsidRPr="00472B56">
        <w:rPr>
          <w:rFonts w:ascii="Times New Roman" w:hAnsi="Times New Roman" w:cs="Times New Roman"/>
          <w:sz w:val="24"/>
          <w:szCs w:val="24"/>
        </w:rPr>
        <w:t>des résidus de jus d'orange dans l'alimentation améliore l'</w:t>
      </w:r>
      <w:proofErr w:type="spellStart"/>
      <w:r w:rsidRPr="00472B56">
        <w:rPr>
          <w:rFonts w:ascii="Times New Roman" w:hAnsi="Times New Roman" w:cs="Times New Roman"/>
          <w:sz w:val="24"/>
          <w:szCs w:val="24"/>
        </w:rPr>
        <w:t>histomorphologie</w:t>
      </w:r>
      <w:proofErr w:type="spellEnd"/>
      <w:r w:rsidRPr="00472B56">
        <w:rPr>
          <w:rFonts w:ascii="Times New Roman" w:hAnsi="Times New Roman" w:cs="Times New Roman"/>
          <w:sz w:val="24"/>
          <w:szCs w:val="24"/>
        </w:rPr>
        <w:t xml:space="preserve"> des différents organes examinés, sans effets délétères apparents sur les tissus hépatiques, spléniques ou bursaux. En comparaison aux témoins, on observe significativement moins de dégénérescences </w:t>
      </w:r>
      <w:proofErr w:type="spellStart"/>
      <w:r w:rsidRPr="00472B56">
        <w:rPr>
          <w:rFonts w:ascii="Times New Roman" w:hAnsi="Times New Roman" w:cs="Times New Roman"/>
          <w:sz w:val="24"/>
          <w:szCs w:val="24"/>
        </w:rPr>
        <w:t>hépatocytaires</w:t>
      </w:r>
      <w:proofErr w:type="spellEnd"/>
      <w:r w:rsidRPr="00472B56">
        <w:rPr>
          <w:rFonts w:ascii="Times New Roman" w:hAnsi="Times New Roman" w:cs="Times New Roman"/>
          <w:sz w:val="24"/>
          <w:szCs w:val="24"/>
        </w:rPr>
        <w:t xml:space="preserve">, d'hémorragies, de congestions et d'infiltrations inflammatoires dans les foies du groupe </w:t>
      </w:r>
      <w:r>
        <w:rPr>
          <w:rFonts w:ascii="Times New Roman" w:hAnsi="Times New Roman" w:cs="Times New Roman"/>
          <w:sz w:val="24"/>
          <w:szCs w:val="24"/>
        </w:rPr>
        <w:t>1</w:t>
      </w:r>
      <w:r w:rsidRPr="00472B56">
        <w:rPr>
          <w:rFonts w:ascii="Times New Roman" w:hAnsi="Times New Roman" w:cs="Times New Roman"/>
          <w:sz w:val="24"/>
          <w:szCs w:val="24"/>
        </w:rPr>
        <w:t>5%</w:t>
      </w:r>
      <w:r>
        <w:rPr>
          <w:rFonts w:ascii="Times New Roman" w:hAnsi="Times New Roman" w:cs="Times New Roman"/>
          <w:sz w:val="24"/>
          <w:szCs w:val="24"/>
        </w:rPr>
        <w:t xml:space="preserve"> </w:t>
      </w:r>
      <w:r w:rsidRPr="00472B56">
        <w:rPr>
          <w:rFonts w:ascii="Times New Roman" w:hAnsi="Times New Roman" w:cs="Times New Roman"/>
          <w:sz w:val="24"/>
          <w:szCs w:val="24"/>
        </w:rPr>
        <w:t xml:space="preserve">POS, </w:t>
      </w:r>
      <w:r>
        <w:rPr>
          <w:rFonts w:ascii="Times New Roman" w:hAnsi="Times New Roman" w:cs="Times New Roman"/>
          <w:sz w:val="24"/>
          <w:szCs w:val="24"/>
        </w:rPr>
        <w:t xml:space="preserve">démontrant </w:t>
      </w:r>
      <w:r w:rsidRPr="00472B56">
        <w:rPr>
          <w:rFonts w:ascii="Times New Roman" w:hAnsi="Times New Roman" w:cs="Times New Roman"/>
          <w:sz w:val="24"/>
          <w:szCs w:val="24"/>
        </w:rPr>
        <w:t xml:space="preserve">une amélioration de la réponse </w:t>
      </w:r>
      <w:proofErr w:type="spellStart"/>
      <w:r w:rsidRPr="00472B56">
        <w:rPr>
          <w:rFonts w:ascii="Times New Roman" w:hAnsi="Times New Roman" w:cs="Times New Roman"/>
          <w:sz w:val="24"/>
          <w:szCs w:val="24"/>
        </w:rPr>
        <w:t>antioxydante</w:t>
      </w:r>
      <w:proofErr w:type="spellEnd"/>
      <w:r w:rsidRPr="00472B56">
        <w:rPr>
          <w:rFonts w:ascii="Times New Roman" w:hAnsi="Times New Roman" w:cs="Times New Roman"/>
          <w:sz w:val="24"/>
          <w:szCs w:val="24"/>
        </w:rPr>
        <w:t>.</w:t>
      </w:r>
      <w:r>
        <w:rPr>
          <w:rFonts w:ascii="Times New Roman" w:hAnsi="Times New Roman" w:cs="Times New Roman"/>
          <w:sz w:val="24"/>
          <w:szCs w:val="24"/>
        </w:rPr>
        <w:t xml:space="preserve"> La troisième étude a été effectuée afin d’évaluer l’impact des substitutions partielles du maïs dans l’alimentation sur les coûts de production de la viande. De cela, la formulation d’un aliments contenant 5% de pulpe d’orange a réduit la consommation du maïs (P &lt; 0.05) de plus de 1,12 kg par rapport à la consommation moyenne des poulets dans le groupe témoin. Durant la période de l’étude (16-49j), le taux de refus d’un poulet par un jour dans le groupe 15% a diminué de plus de 88% par rapport au groupe témoin. De même, les coûts de production liés à l’alimentation dans un mètre carré ont diminué de plus de 8%. </w:t>
      </w:r>
    </w:p>
    <w:p w:rsidR="00C944CA" w:rsidRPr="00DC23A9" w:rsidRDefault="00C944CA" w:rsidP="00C944CA">
      <w:pPr>
        <w:rPr>
          <w:rFonts w:asciiTheme="majorBidi" w:hAnsiTheme="majorBidi" w:cstheme="majorBidi"/>
        </w:rPr>
      </w:pPr>
      <w:r w:rsidRPr="00DC23A9">
        <w:rPr>
          <w:rFonts w:asciiTheme="majorBidi" w:hAnsiTheme="majorBidi" w:cstheme="majorBidi"/>
          <w:b/>
          <w:bCs/>
        </w:rPr>
        <w:t>Mots clés :</w:t>
      </w:r>
      <w:r w:rsidRPr="00DC23A9">
        <w:t xml:space="preserve"> </w:t>
      </w:r>
      <w:r w:rsidRPr="00DC23A9">
        <w:rPr>
          <w:rFonts w:asciiTheme="majorBidi" w:hAnsiTheme="majorBidi" w:cstheme="majorBidi"/>
        </w:rPr>
        <w:t>Viande de poulet,</w:t>
      </w:r>
      <w:r>
        <w:rPr>
          <w:rFonts w:asciiTheme="majorBidi" w:hAnsiTheme="majorBidi" w:cstheme="majorBidi"/>
        </w:rPr>
        <w:t xml:space="preserve"> performances zootechniques,</w:t>
      </w:r>
      <w:r w:rsidRPr="00DC23A9">
        <w:rPr>
          <w:rFonts w:asciiTheme="majorBidi" w:hAnsiTheme="majorBidi" w:cstheme="majorBidi"/>
        </w:rPr>
        <w:t xml:space="preserve"> </w:t>
      </w:r>
      <w:r>
        <w:rPr>
          <w:rFonts w:asciiTheme="majorBidi" w:hAnsiTheme="majorBidi" w:cstheme="majorBidi"/>
        </w:rPr>
        <w:t xml:space="preserve">paramètres sanguins, </w:t>
      </w:r>
      <w:r w:rsidRPr="00DC23A9">
        <w:rPr>
          <w:rFonts w:asciiTheme="majorBidi" w:hAnsiTheme="majorBidi" w:cstheme="majorBidi"/>
        </w:rPr>
        <w:t xml:space="preserve">antioxydant, </w:t>
      </w:r>
      <w:r>
        <w:rPr>
          <w:rFonts w:asciiTheme="majorBidi" w:hAnsiTheme="majorBidi" w:cstheme="majorBidi"/>
        </w:rPr>
        <w:t>pulpe d’orange</w:t>
      </w:r>
      <w:r w:rsidRPr="00DC23A9">
        <w:rPr>
          <w:rFonts w:asciiTheme="majorBidi" w:hAnsiTheme="majorBidi" w:cstheme="majorBidi"/>
        </w:rPr>
        <w:t xml:space="preserve">, peroxydation, </w:t>
      </w:r>
      <w:proofErr w:type="spellStart"/>
      <w:r>
        <w:rPr>
          <w:rFonts w:asciiTheme="majorBidi" w:hAnsiTheme="majorBidi" w:cstheme="majorBidi"/>
        </w:rPr>
        <w:t>histomorphologie</w:t>
      </w:r>
      <w:proofErr w:type="spellEnd"/>
      <w:r w:rsidRPr="00DC23A9">
        <w:rPr>
          <w:rFonts w:asciiTheme="majorBidi" w:hAnsiTheme="majorBidi" w:cstheme="majorBidi"/>
        </w:rPr>
        <w:t>.</w:t>
      </w:r>
    </w:p>
    <w:p w:rsidR="00C944CA" w:rsidRDefault="00C944CA" w:rsidP="003A0600">
      <w:pPr>
        <w:rPr>
          <w:i/>
          <w:iCs/>
          <w:sz w:val="24"/>
          <w:szCs w:val="24"/>
        </w:rPr>
      </w:pPr>
    </w:p>
    <w:p w:rsidR="00C944CA" w:rsidRDefault="00C944CA" w:rsidP="003A0600">
      <w:pPr>
        <w:rPr>
          <w:i/>
          <w:iCs/>
          <w:sz w:val="24"/>
          <w:szCs w:val="24"/>
        </w:rPr>
      </w:pPr>
    </w:p>
    <w:p w:rsidR="003A0600" w:rsidRPr="00C944CA" w:rsidRDefault="003A0600" w:rsidP="003A0600">
      <w:pPr>
        <w:rPr>
          <w:i/>
          <w:iCs/>
          <w:sz w:val="26"/>
          <w:szCs w:val="26"/>
        </w:rPr>
      </w:pPr>
      <w:r w:rsidRPr="00C944CA">
        <w:rPr>
          <w:i/>
          <w:iCs/>
          <w:sz w:val="26"/>
          <w:szCs w:val="26"/>
        </w:rPr>
        <w:t>Toute personne intéressée est cordialement invitée.</w:t>
      </w:r>
    </w:p>
    <w:sectPr w:rsidR="003A0600" w:rsidRPr="00C94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2A"/>
    <w:rsid w:val="00044E09"/>
    <w:rsid w:val="003909B6"/>
    <w:rsid w:val="003A0600"/>
    <w:rsid w:val="0042412C"/>
    <w:rsid w:val="006C1B2A"/>
    <w:rsid w:val="00800798"/>
    <w:rsid w:val="00C944CA"/>
    <w:rsid w:val="00D13C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qFormat/>
    <w:rsid w:val="003A0600"/>
    <w:pPr>
      <w:tabs>
        <w:tab w:val="center" w:pos="4536"/>
        <w:tab w:val="right" w:pos="9072"/>
      </w:tabs>
    </w:pPr>
  </w:style>
  <w:style w:type="character" w:customStyle="1" w:styleId="En-tteCar">
    <w:name w:val="En-tête Car"/>
    <w:basedOn w:val="Policepardfaut"/>
    <w:link w:val="En-tte"/>
    <w:uiPriority w:val="99"/>
    <w:rsid w:val="003A0600"/>
  </w:style>
  <w:style w:type="table" w:customStyle="1" w:styleId="Grilledutableau1">
    <w:name w:val="Grille du tableau1"/>
    <w:basedOn w:val="TableauNormal"/>
    <w:uiPriority w:val="39"/>
    <w:qFormat/>
    <w:rsid w:val="003A0600"/>
    <w:pPr>
      <w:spacing w:after="0" w:line="240" w:lineRule="auto"/>
    </w:pPr>
    <w:rPr>
      <w:rFonts w:eastAsiaTheme="minorEastAsia"/>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A06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0600"/>
    <w:rPr>
      <w:rFonts w:ascii="Tahoma" w:hAnsi="Tahoma" w:cs="Tahoma"/>
      <w:sz w:val="16"/>
      <w:szCs w:val="16"/>
    </w:rPr>
  </w:style>
  <w:style w:type="character" w:styleId="lev">
    <w:name w:val="Strong"/>
    <w:basedOn w:val="Policepardfaut"/>
    <w:uiPriority w:val="22"/>
    <w:qFormat/>
    <w:rsid w:val="00044E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qFormat/>
    <w:rsid w:val="003A0600"/>
    <w:pPr>
      <w:tabs>
        <w:tab w:val="center" w:pos="4536"/>
        <w:tab w:val="right" w:pos="9072"/>
      </w:tabs>
    </w:pPr>
  </w:style>
  <w:style w:type="character" w:customStyle="1" w:styleId="En-tteCar">
    <w:name w:val="En-tête Car"/>
    <w:basedOn w:val="Policepardfaut"/>
    <w:link w:val="En-tte"/>
    <w:uiPriority w:val="99"/>
    <w:rsid w:val="003A0600"/>
  </w:style>
  <w:style w:type="table" w:customStyle="1" w:styleId="Grilledutableau1">
    <w:name w:val="Grille du tableau1"/>
    <w:basedOn w:val="TableauNormal"/>
    <w:uiPriority w:val="39"/>
    <w:qFormat/>
    <w:rsid w:val="003A0600"/>
    <w:pPr>
      <w:spacing w:after="0" w:line="240" w:lineRule="auto"/>
    </w:pPr>
    <w:rPr>
      <w:rFonts w:eastAsiaTheme="minorEastAsia"/>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A06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0600"/>
    <w:rPr>
      <w:rFonts w:ascii="Tahoma" w:hAnsi="Tahoma" w:cs="Tahoma"/>
      <w:sz w:val="16"/>
      <w:szCs w:val="16"/>
    </w:rPr>
  </w:style>
  <w:style w:type="character" w:styleId="lev">
    <w:name w:val="Strong"/>
    <w:basedOn w:val="Policepardfaut"/>
    <w:uiPriority w:val="22"/>
    <w:qFormat/>
    <w:rsid w:val="00044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996</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Informatics</dc:creator>
  <cp:lastModifiedBy>Informatics</cp:lastModifiedBy>
  <cp:revision>7</cp:revision>
  <cp:lastPrinted>2024-06-24T06:49:00Z</cp:lastPrinted>
  <dcterms:created xsi:type="dcterms:W3CDTF">2024-06-14T21:32:00Z</dcterms:created>
  <dcterms:modified xsi:type="dcterms:W3CDTF">2024-06-24T06:50:00Z</dcterms:modified>
</cp:coreProperties>
</file>